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19" w:lineRule="auto"/>
        <w:ind w:firstLine="15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5"/>
          <w:sz w:val="34"/>
          <w:szCs w:val="34"/>
        </w:rPr>
        <w:t>附件1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10" w:line="219" w:lineRule="auto"/>
        <w:ind w:firstLine="187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2022年第四季度</w:t>
      </w:r>
    </w:p>
    <w:p/>
    <w:p>
      <w:pPr>
        <w:spacing w:line="20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痔瘘科1个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痔瘘科1个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1:0.35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1:0.35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1:0.6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1:0.6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1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2.医疗费用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288.71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195.17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4274.87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5272.28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78.3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65.4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98.2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97.9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3.78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  <w:jc w:val="center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127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1.01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1.63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2.80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28.7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9.9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16099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848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</w:p>
        </w:tc>
        <w:tc>
          <w:tcPr>
            <w:tcW w:w="11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98.4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7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2"/>
          <w:sz w:val="36"/>
          <w:szCs w:val="36"/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57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511"/>
        <w:gridCol w:w="1379"/>
        <w:gridCol w:w="260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5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8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608"/>
        <w:gridCol w:w="1338"/>
        <w:gridCol w:w="2617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73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2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文明行医,热情服务,医务人员对患者必须有爱心、耐心、细心、责任心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持证上岗,着装整齐,对患者及时诊治,不推诿、拖拉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廉洁行医，拒收红包，举报有奖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依法收费，</w:t>
            </w:r>
            <w:r>
              <w:rPr>
                <w:rFonts w:hint="eastAsia"/>
                <w:sz w:val="28"/>
                <w:szCs w:val="28"/>
              </w:rPr>
              <w:t>明码标价，坚持合理检查，合理用药，严禁开大处方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严禁弄虚作假，如假病历、假证明，一经发现，严肃处理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“120”急救人员24小时在线，出车快捷及时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门诊电子屏公示，医疗服务信息及药品价格、检查项目价格透明公开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严格执行首诊负责制度，落实危重病人优先处置，急诊会诊医师必须及时到位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医院对病人投诉予以处理答复，及时处理及时调解及时回复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加强各科室管理，完善制度与措施，严抓医德医风建设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TE5OWFmNTkyMDgyZjQxMjBhZDRhMWFlY2Y2MTAifQ=="/>
  </w:docVars>
  <w:rsids>
    <w:rsidRoot w:val="00000000"/>
    <w:rsid w:val="21AC518A"/>
    <w:rsid w:val="29DF4D77"/>
    <w:rsid w:val="55DC439C"/>
    <w:rsid w:val="7591333E"/>
    <w:rsid w:val="77F23EDA"/>
    <w:rsid w:val="7E4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947</Words>
  <Characters>1177</Characters>
  <Lines>0</Lines>
  <Paragraphs>0</Paragraphs>
  <TotalTime>10</TotalTime>
  <ScaleCrop>false</ScaleCrop>
  <LinksUpToDate>false</LinksUpToDate>
  <CharactersWithSpaces>1181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2023-01-17T01:08:00Z</dcterms:created>
  <dc:creator>Administrator</dc:creator>
  <cp:lastModifiedBy>land</cp:lastModifiedBy>
  <dcterms:modified xsi:type="dcterms:W3CDTF">2023-01-18T01:43:59Z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BDCF621DFBE5428EB489254A996078E3</vt:lpwstr>
  </property>
</Properties>
</file>